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40" w:before="0" w:line="240" w:lineRule="auto"/>
              <w:ind w:left="463" w:right="0" w:hanging="4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ind w:left="463" w:hanging="436"/>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605"/>
              </w:tabs>
              <w:ind w:left="463" w:hanging="436"/>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(inclusive)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463"/>
              </w:tabs>
              <w:spacing w:after="240" w:lineRule="auto"/>
              <w:ind w:left="463" w:hanging="463"/>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ind w:left="463" w:hanging="463"/>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321" w:hanging="32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Group Structure Information and Resolution Commentary; and</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9"/>
              </w:tabs>
              <w:spacing w:after="120" w:lineRule="auto"/>
              <w:ind w:left="321" w:hanging="321"/>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1">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2">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p w:rsidR="00000000" w:rsidDel="00000000" w:rsidP="00000000" w:rsidRDefault="00000000" w:rsidRPr="00000000" w14:paraId="00000043">
            <w:pPr>
              <w:ind w:left="0" w:firstLine="0"/>
              <w:jc w:val="left"/>
              <w:rPr>
                <w:rFonts w:ascii="Arial" w:cs="Arial" w:eastAsia="Arial" w:hAnsi="Arial"/>
                <w:color w:val="000000"/>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F">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51">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6">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u w:val="single"/>
          <w:rtl w:val="0"/>
        </w:rPr>
        <w:t xml:space="preserve">Section 1</w:t>
      </w:r>
      <w:r w:rsidDel="00000000" w:rsidR="00000000" w:rsidRPr="00000000">
        <w:rPr>
          <w:color w:val="000000"/>
          <w:sz w:val="24"/>
          <w:szCs w:val="24"/>
          <w:rtl w:val="0"/>
        </w:rPr>
        <w:t xml:space="preserve"> which shall set out general principles applicable to the BCDR Plan; </w:t>
      </w:r>
    </w:p>
    <w:p w:rsidR="00000000" w:rsidDel="00000000" w:rsidP="00000000" w:rsidRDefault="00000000" w:rsidRPr="00000000" w14:paraId="0000005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u w:val="single"/>
          <w:rtl w:val="0"/>
        </w:rPr>
        <w:t xml:space="preserve">Section 2</w:t>
      </w:r>
      <w:r w:rsidDel="00000000" w:rsidR="00000000" w:rsidRPr="00000000">
        <w:rPr>
          <w:color w:val="000000"/>
          <w:sz w:val="24"/>
          <w:szCs w:val="24"/>
          <w:rtl w:val="0"/>
        </w:rPr>
        <w:t xml:space="preserve">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u w:val="single"/>
          <w:rtl w:val="0"/>
        </w:rPr>
        <w:t xml:space="preserve">Section 3</w:t>
      </w:r>
      <w:r w:rsidDel="00000000" w:rsidR="00000000" w:rsidRPr="00000000">
        <w:rPr>
          <w:color w:val="000000"/>
          <w:sz w:val="24"/>
          <w:szCs w:val="24"/>
          <w:rtl w:val="0"/>
        </w:rPr>
        <w:t xml:space="preserve">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u w:val="single"/>
          <w:rtl w:val="0"/>
        </w:rPr>
        <w:t xml:space="preserve">Section 4</w:t>
      </w:r>
      <w:r w:rsidDel="00000000" w:rsidR="00000000" w:rsidRPr="00000000">
        <w:rPr>
          <w:color w:val="000000"/>
          <w:sz w:val="24"/>
          <w:szCs w:val="24"/>
          <w:rtl w:val="0"/>
        </w:rPr>
        <w:t xml:space="preserve">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C">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D">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6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6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3">
      <w:pPr>
        <w:keepNext w:val="1"/>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4">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5">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6">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7">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7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71">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6">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7">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8">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C">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8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81">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3">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91">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41mghml" w:id="15"/>
      <w:bookmarkEnd w:id="15"/>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2">
      <w:pPr>
        <w:numPr>
          <w:ilvl w:val="1"/>
          <w:numId w:val="6"/>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3">
      <w:pPr>
        <w:numPr>
          <w:ilvl w:val="1"/>
          <w:numId w:val="6"/>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A">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B">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6"/>
      <w:bookmarkEnd w:id="16"/>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7"/>
      <w:bookmarkEnd w:id="17"/>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8"/>
      <w:bookmarkEnd w:id="18"/>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19"/>
      <w:bookmarkEnd w:id="19"/>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F">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0"/>
      <w:bookmarkEnd w:id="20"/>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A0">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1"/>
      <w:bookmarkEnd w:id="21"/>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A1">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2"/>
      <w:bookmarkEnd w:id="22"/>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3">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3"/>
      <w:bookmarkEnd w:id="23"/>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4"/>
      <w:bookmarkEnd w:id="24"/>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5"/>
      <w:bookmarkEnd w:id="25"/>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B">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F">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6"/>
      <w:bookmarkEnd w:id="26"/>
      <w:r w:rsidDel="00000000" w:rsidR="00000000" w:rsidRPr="00000000">
        <w:rPr>
          <w:color w:val="000000"/>
          <w:sz w:val="24"/>
          <w:szCs w:val="24"/>
          <w:rtl w:val="0"/>
        </w:rPr>
        <w:t xml:space="preserve">Following each test, the Suppler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B0">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7"/>
      <w:bookmarkEnd w:id="27"/>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B1">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grqrue" w:id="28"/>
      <w:bookmarkEnd w:id="28"/>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5">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6">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7">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3">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5">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6">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A">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C">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D1">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A">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  Group Structure Information and Resolution Commentary;</w:t>
      </w:r>
    </w:p>
    <w:p w:rsidR="00000000" w:rsidDel="00000000" w:rsidP="00000000" w:rsidRDefault="00000000" w:rsidRPr="00000000" w14:paraId="000000D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  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E0">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E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9">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A">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Difficulties) (if applicable);</w:t>
      </w:r>
    </w:p>
    <w:p w:rsidR="00000000" w:rsidDel="00000000" w:rsidP="00000000" w:rsidRDefault="00000000" w:rsidRPr="00000000" w14:paraId="000000E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F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F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b w:val="1"/>
          <w:sz w:val="24"/>
          <w:szCs w:val="24"/>
          <w:rtl w:val="0"/>
        </w:rPr>
        <w:t xml:space="preserve">Aa3</w:t>
      </w:r>
      <w:r w:rsidDel="00000000" w:rsidR="00000000" w:rsidRPr="00000000">
        <w:rPr>
          <w:sz w:val="24"/>
          <w:szCs w:val="24"/>
          <w:rtl w:val="0"/>
        </w:rPr>
        <w:t xml:space="preserve"> or better from Moody’s;</w:t>
      </w:r>
    </w:p>
    <w:p w:rsidR="00000000" w:rsidDel="00000000" w:rsidP="00000000" w:rsidRDefault="00000000" w:rsidRPr="00000000" w14:paraId="000000F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b w:val="1"/>
          <w:sz w:val="24"/>
          <w:szCs w:val="24"/>
          <w:rtl w:val="0"/>
        </w:rPr>
        <w:t xml:space="preserve">AA-</w:t>
      </w:r>
      <w:r w:rsidDel="00000000" w:rsidR="00000000" w:rsidRPr="00000000">
        <w:rPr>
          <w:sz w:val="24"/>
          <w:szCs w:val="24"/>
          <w:rtl w:val="0"/>
        </w:rPr>
        <w:t xml:space="preserve"> or better from Standard and Poors;</w:t>
      </w:r>
    </w:p>
    <w:p w:rsidR="00000000" w:rsidDel="00000000" w:rsidP="00000000" w:rsidRDefault="00000000" w:rsidRPr="00000000" w14:paraId="000000F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b w:val="1"/>
          <w:sz w:val="24"/>
          <w:szCs w:val="24"/>
          <w:rtl w:val="0"/>
        </w:rPr>
        <w:t xml:space="preserve">AA-</w:t>
      </w:r>
      <w:r w:rsidDel="00000000" w:rsidR="00000000" w:rsidRPr="00000000">
        <w:rPr>
          <w:sz w:val="24"/>
          <w:szCs w:val="24"/>
          <w:rtl w:val="0"/>
        </w:rPr>
        <w:t xml:space="preserve"> or better from Fitch;</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Difficulties),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0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0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9"/>
      <w:bookmarkEnd w:id="29"/>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6">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D">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E">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F">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3">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4">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5">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6">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7">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8">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9">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A">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 million per Contract Year and their related key sub-contracts, which shall be included as embedded documents within the CRP Information or via a directly accessible link.</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vx1227" w:id="30"/>
      <w:bookmarkEnd w:id="30"/>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RM6240 </w:t>
    </w:r>
    <w:r w:rsidDel="00000000" w:rsidR="00000000" w:rsidRPr="00000000">
      <w:rPr>
        <w:sz w:val="20"/>
        <w:szCs w:val="20"/>
        <w:rtl w:val="0"/>
      </w:rPr>
      <w:t xml:space="preserve">Public Sector Legal Services Framework</w:t>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2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67DB9"/>
    <w:pPr>
      <w:overflowPunct w:val="0"/>
      <w:autoSpaceDE w:val="0"/>
      <w:autoSpaceDN w:val="0"/>
      <w:adjustRightInd w:val="0"/>
      <w:textAlignment w:val="baseline"/>
    </w:pPr>
    <w:rPr>
      <w:rFonts w:eastAsia="Times New Roman"/>
    </w:rPr>
  </w:style>
  <w:style w:type="paragraph" w:styleId="Heading1">
    <w:name w:val="heading 1"/>
    <w:basedOn w:val="Normal"/>
    <w:next w:val="Normal"/>
    <w:rsid w:val="00567DB9"/>
    <w:pPr>
      <w:keepNext w:val="1"/>
      <w:keepLines w:val="1"/>
      <w:spacing w:after="120" w:before="480"/>
      <w:outlineLvl w:val="0"/>
    </w:pPr>
    <w:rPr>
      <w:b w:val="1"/>
      <w:sz w:val="48"/>
      <w:szCs w:val="48"/>
    </w:rPr>
  </w:style>
  <w:style w:type="paragraph" w:styleId="Heading2">
    <w:name w:val="heading 2"/>
    <w:basedOn w:val="Normal"/>
    <w:next w:val="Normal"/>
    <w:rsid w:val="00567DB9"/>
    <w:pPr>
      <w:keepNext w:val="1"/>
      <w:keepLines w:val="1"/>
      <w:spacing w:after="80" w:before="360"/>
      <w:outlineLvl w:val="1"/>
    </w:pPr>
    <w:rPr>
      <w:b w:val="1"/>
      <w:sz w:val="36"/>
      <w:szCs w:val="36"/>
    </w:rPr>
  </w:style>
  <w:style w:type="paragraph" w:styleId="Heading3">
    <w:name w:val="heading 3"/>
    <w:basedOn w:val="Normal"/>
    <w:next w:val="Normal"/>
    <w:rsid w:val="00567DB9"/>
    <w:pPr>
      <w:keepNext w:val="1"/>
      <w:keepLines w:val="1"/>
      <w:spacing w:after="80" w:before="280"/>
      <w:outlineLvl w:val="2"/>
    </w:pPr>
    <w:rPr>
      <w:b w:val="1"/>
      <w:sz w:val="28"/>
      <w:szCs w:val="28"/>
    </w:rPr>
  </w:style>
  <w:style w:type="paragraph" w:styleId="Heading4">
    <w:name w:val="heading 4"/>
    <w:basedOn w:val="Normal"/>
    <w:next w:val="Normal"/>
    <w:rsid w:val="00567DB9"/>
    <w:pPr>
      <w:keepNext w:val="1"/>
      <w:keepLines w:val="1"/>
      <w:spacing w:after="40" w:before="240"/>
      <w:outlineLvl w:val="3"/>
    </w:pPr>
    <w:rPr>
      <w:b w:val="1"/>
      <w:sz w:val="24"/>
      <w:szCs w:val="24"/>
    </w:rPr>
  </w:style>
  <w:style w:type="paragraph" w:styleId="Heading5">
    <w:name w:val="heading 5"/>
    <w:basedOn w:val="Normal"/>
    <w:next w:val="Normal"/>
    <w:rsid w:val="00567DB9"/>
    <w:pPr>
      <w:keepNext w:val="1"/>
      <w:keepLines w:val="1"/>
      <w:spacing w:after="40" w:before="220"/>
      <w:outlineLvl w:val="4"/>
    </w:pPr>
    <w:rPr>
      <w:b w:val="1"/>
    </w:rPr>
  </w:style>
  <w:style w:type="paragraph" w:styleId="Heading6">
    <w:name w:val="heading 6"/>
    <w:basedOn w:val="Normal"/>
    <w:next w:val="Normal"/>
    <w:rsid w:val="00567DB9"/>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67DB9"/>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67DB9"/>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67DB9"/>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67DB9"/>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67DB9"/>
    <w:pPr>
      <w:numPr>
        <w:ilvl w:val="4"/>
      </w:numPr>
      <w:tabs>
        <w:tab w:val="num" w:pos="360"/>
        <w:tab w:val="left" w:pos="3402"/>
      </w:tabs>
    </w:pPr>
  </w:style>
  <w:style w:type="paragraph" w:styleId="GPSL6numbered" w:customStyle="1">
    <w:name w:val="GPS L6 numbered"/>
    <w:basedOn w:val="GPSL5numberedclause"/>
    <w:qFormat w:val="1"/>
    <w:rsid w:val="00567DB9"/>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67DB9"/>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67DB9"/>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Jx8o3KbICT4JBujDK8LGE+GHRA==">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2022-02-16T10:32:00Z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